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png" ContentType="image/png"/>
  <Override PartName="/word/media/image3.jpeg" ContentType="image/jpeg"/>
  <Override PartName="/word/media/image4.png" ContentType="image/png"/>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UTILIZAÇÃO DO BIOFERTILIZANTE BOVINO NA CULTURA DA ALFACE E PIMENTÃO</w:t>
      </w:r>
    </w:p>
    <w:p>
      <w:pPr>
        <w:pStyle w:val="Normal"/>
        <w:tabs>
          <w:tab w:val="left" w:pos="720" w:leader="none"/>
        </w:tabs>
        <w:spacing w:lineRule="auto" w:line="240" w:before="0" w:after="0"/>
        <w:jc w:val="center"/>
        <w:rPr>
          <w:rFonts w:ascii="Times New Roman" w:hAnsi="Times New Roman" w:cs="Times New Roman"/>
          <w:b/>
          <w:b/>
          <w:bCs/>
          <w:sz w:val="20"/>
          <w:szCs w:val="20"/>
          <w:vertAlign w:val="superscript"/>
        </w:rPr>
      </w:pPr>
      <w:r>
        <w:rPr>
          <w:rFonts w:cs="Times New Roman" w:ascii="Times New Roman" w:hAnsi="Times New Roman"/>
          <w:b/>
          <w:bCs/>
          <w:sz w:val="20"/>
          <w:szCs w:val="20"/>
        </w:rPr>
        <w:t>Thalita Rodrigues Silva</w:t>
      </w:r>
      <w:r>
        <w:rPr>
          <w:rFonts w:cs="Times New Roman" w:ascii="Times New Roman" w:hAnsi="Times New Roman"/>
          <w:b/>
          <w:bCs/>
          <w:sz w:val="20"/>
          <w:szCs w:val="20"/>
          <w:vertAlign w:val="superscript"/>
        </w:rPr>
        <w:t>1</w:t>
      </w:r>
      <w:r>
        <w:rPr>
          <w:rFonts w:cs="Times New Roman" w:ascii="Times New Roman" w:hAnsi="Times New Roman"/>
          <w:b/>
          <w:bCs/>
          <w:sz w:val="20"/>
          <w:szCs w:val="20"/>
        </w:rPr>
        <w:t>, Thayny Alves Viana</w:t>
      </w:r>
      <w:r>
        <w:rPr>
          <w:rFonts w:cs="Times New Roman" w:ascii="Times New Roman" w:hAnsi="Times New Roman"/>
          <w:b/>
          <w:bCs/>
          <w:sz w:val="20"/>
          <w:szCs w:val="20"/>
          <w:vertAlign w:val="superscript"/>
        </w:rPr>
        <w:t>1</w:t>
      </w:r>
      <w:r>
        <w:rPr>
          <w:rFonts w:cs="Times New Roman" w:ascii="Times New Roman" w:hAnsi="Times New Roman"/>
          <w:b/>
          <w:bCs/>
          <w:sz w:val="20"/>
          <w:szCs w:val="20"/>
        </w:rPr>
        <w:t>, Érica Chaves</w:t>
      </w:r>
      <w:r>
        <w:rPr>
          <w:rFonts w:cs="Times New Roman" w:ascii="Times New Roman" w:hAnsi="Times New Roman"/>
          <w:b/>
          <w:bCs/>
          <w:sz w:val="20"/>
          <w:szCs w:val="20"/>
          <w:vertAlign w:val="superscript"/>
        </w:rPr>
        <w:t>1</w:t>
      </w:r>
      <w:r>
        <w:rPr>
          <w:rFonts w:cs="Times New Roman" w:ascii="Times New Roman" w:hAnsi="Times New Roman"/>
          <w:b/>
          <w:bCs/>
          <w:sz w:val="20"/>
          <w:szCs w:val="20"/>
        </w:rPr>
        <w:t>, Márcio Rogério Pereira Leite</w:t>
      </w:r>
      <w:r>
        <w:rPr>
          <w:rFonts w:cs="Times New Roman" w:ascii="Times New Roman" w:hAnsi="Times New Roman"/>
          <w:b/>
          <w:bCs/>
          <w:sz w:val="20"/>
          <w:szCs w:val="20"/>
          <w:vertAlign w:val="superscript"/>
        </w:rPr>
        <w:t>2</w:t>
      </w:r>
    </w:p>
    <w:p>
      <w:pPr>
        <w:pStyle w:val="Normal"/>
        <w:spacing w:lineRule="auto" w:line="240" w:before="0" w:after="0"/>
        <w:ind w:right="-198" w:hanging="0"/>
        <w:jc w:val="right"/>
        <w:rPr>
          <w:rFonts w:ascii="Calibri" w:hAnsi="Calibri" w:cs="Calibri"/>
        </w:rPr>
      </w:pPr>
      <w:r>
        <w:rPr>
          <w:rFonts w:cs="Calibri"/>
        </w:rPr>
      </w:r>
    </w:p>
    <w:p>
      <w:pPr>
        <w:pStyle w:val="Normal"/>
        <w:spacing w:lineRule="auto" w:line="240" w:before="0" w:after="0"/>
        <w:ind w:left="85" w:hanging="85"/>
        <w:rPr/>
      </w:pPr>
      <w:r>
        <w:rPr>
          <w:rFonts w:cs="Times New Roman" w:ascii="Times New Roman" w:hAnsi="Times New Roman"/>
          <w:sz w:val="16"/>
          <w:szCs w:val="16"/>
          <w:vertAlign w:val="superscript"/>
        </w:rPr>
        <w:t>1</w:t>
      </w:r>
      <w:r>
        <w:rPr>
          <w:rFonts w:cs="Times New Roman" w:ascii="Times New Roman" w:hAnsi="Times New Roman"/>
          <w:sz w:val="16"/>
          <w:szCs w:val="16"/>
        </w:rPr>
        <w:t xml:space="preserve">Acadêmicas do Curso Bacharelado em Agronomia – IFTO Campus Araguatins. e-mail: </w:t>
      </w:r>
      <w:hyperlink r:id="rId2">
        <w:r>
          <w:rPr>
            <w:rStyle w:val="LinkdaInternet"/>
            <w:rFonts w:cs="Liberation Serif" w:ascii="Liberation Serif" w:hAnsi="Liberation Serif"/>
            <w:color w:val="0000FF"/>
            <w:sz w:val="16"/>
            <w:szCs w:val="16"/>
            <w:u w:val="single"/>
          </w:rPr>
          <w:t>thalitasilvatrp93@hotmail.com</w:t>
        </w:r>
      </w:hyperlink>
      <w:r>
        <w:rPr>
          <w:rFonts w:cs="Times New Roman" w:ascii="Times New Roman" w:hAnsi="Times New Roman"/>
          <w:sz w:val="16"/>
          <w:szCs w:val="16"/>
        </w:rPr>
        <w:t xml:space="preserve"> </w:t>
      </w:r>
      <w:hyperlink r:id="rId3">
        <w:r>
          <w:rPr>
            <w:rStyle w:val="LinkdaInternet"/>
            <w:rFonts w:cs="Times New Roman" w:ascii="Times New Roman" w:hAnsi="Times New Roman"/>
            <w:color w:val="0000FF"/>
            <w:sz w:val="16"/>
            <w:szCs w:val="16"/>
            <w:highlight w:val="white"/>
            <w:u w:val="single"/>
          </w:rPr>
          <w:t>vianathayny@gmail.com</w:t>
        </w:r>
      </w:hyperlink>
      <w:r>
        <w:rPr>
          <w:rFonts w:cs="Times New Roman" w:ascii="Times New Roman" w:hAnsi="Times New Roman"/>
          <w:color w:val="555555"/>
          <w:sz w:val="16"/>
          <w:szCs w:val="16"/>
          <w:highlight w:val="white"/>
        </w:rPr>
        <w:t xml:space="preserve">  </w:t>
      </w:r>
      <w:hyperlink r:id="rId4">
        <w:r>
          <w:rPr>
            <w:rStyle w:val="LinkdaInternet"/>
            <w:rFonts w:cs="Times New Roman" w:ascii="Times New Roman" w:hAnsi="Times New Roman"/>
            <w:color w:val="0000FF"/>
            <w:sz w:val="16"/>
            <w:szCs w:val="16"/>
            <w:highlight w:val="white"/>
            <w:u w:val="single"/>
          </w:rPr>
          <w:t>ericachaves2@gmail.com</w:t>
        </w:r>
      </w:hyperlink>
      <w:r>
        <w:rPr>
          <w:rFonts w:cs="Times New Roman" w:ascii="Times New Roman" w:hAnsi="Times New Roman"/>
          <w:color w:val="555555"/>
          <w:sz w:val="16"/>
          <w:szCs w:val="16"/>
          <w:highlight w:val="white"/>
        </w:rPr>
        <w:t xml:space="preserve"> </w:t>
      </w:r>
    </w:p>
    <w:p>
      <w:pPr>
        <w:pStyle w:val="Normal"/>
        <w:spacing w:lineRule="auto" w:line="240" w:before="0" w:after="0"/>
        <w:ind w:left="85" w:hanging="85"/>
        <w:rPr/>
      </w:pPr>
      <w:r>
        <w:rPr>
          <w:rFonts w:cs="Times New Roman" w:ascii="Times New Roman" w:hAnsi="Times New Roman"/>
          <w:sz w:val="16"/>
          <w:szCs w:val="20"/>
          <w:vertAlign w:val="superscript"/>
        </w:rPr>
        <w:t>2</w:t>
      </w:r>
      <w:r>
        <w:rPr>
          <w:rFonts w:cs="Times New Roman" w:ascii="Times New Roman" w:hAnsi="Times New Roman"/>
          <w:color w:val="000000"/>
          <w:sz w:val="16"/>
          <w:szCs w:val="20"/>
          <w:shd w:fill="FFFFFF" w:val="clear"/>
        </w:rPr>
        <w:t>Mestre m Ciências e Tecnologia de Sementes</w:t>
      </w:r>
      <w:r>
        <w:rPr>
          <w:color w:val="000000"/>
          <w:shd w:fill="FFFFFF" w:val="clear"/>
        </w:rPr>
        <w:t>-</w:t>
      </w:r>
      <w:r>
        <w:rPr>
          <w:rFonts w:cs="Times New Roman" w:ascii="Times New Roman" w:hAnsi="Times New Roman"/>
          <w:sz w:val="16"/>
          <w:szCs w:val="16"/>
        </w:rPr>
        <w:t xml:space="preserve"> IFTO Campus Araguatins. e-mail: </w:t>
      </w:r>
      <w:hyperlink r:id="rId5">
        <w:r>
          <w:rPr>
            <w:rStyle w:val="LinkdaInternet"/>
            <w:rFonts w:cs="Times New Roman" w:ascii="Times New Roman" w:hAnsi="Times New Roman"/>
            <w:sz w:val="16"/>
            <w:szCs w:val="16"/>
          </w:rPr>
          <w:t xml:space="preserve">mrpleite@hotmail.com </w:t>
        </w:r>
      </w:hyperlink>
    </w:p>
    <w:p>
      <w:pPr>
        <w:pStyle w:val="Normal"/>
        <w:spacing w:lineRule="auto" w:line="240" w:before="0" w:after="0"/>
        <w:ind w:left="85" w:hanging="85"/>
        <w:rPr>
          <w:rFonts w:ascii="Times New Roman" w:hAnsi="Times New Roman" w:cs="Times New Roman"/>
          <w:sz w:val="16"/>
          <w:szCs w:val="16"/>
        </w:rPr>
      </w:pPr>
      <w:r>
        <w:rPr>
          <w:rFonts w:cs="Times New Roman" w:ascii="Times New Roman" w:hAnsi="Times New Roman"/>
          <w:sz w:val="16"/>
          <w:szCs w:val="16"/>
        </w:rPr>
      </w:r>
    </w:p>
    <w:p>
      <w:pPr>
        <w:pStyle w:val="Normal"/>
        <w:spacing w:lineRule="auto" w:line="240" w:before="0" w:after="0"/>
        <w:jc w:val="both"/>
        <w:rPr>
          <w:rFonts w:ascii="Times New Roman" w:hAnsi="Times New Roman" w:cs="Times New Roman"/>
        </w:rPr>
      </w:pPr>
      <w:r>
        <w:rPr>
          <w:rFonts w:cs="Times New Roman" w:ascii="Times New Roman" w:hAnsi="Times New Roman"/>
          <w:b/>
          <w:bCs/>
          <w:color w:val="000000"/>
        </w:rPr>
        <w:t>Resumo:</w:t>
      </w:r>
      <w:r>
        <w:rPr>
          <w:rFonts w:cs="Times New Roman" w:ascii="Times New Roman" w:hAnsi="Times New Roman"/>
          <w:color w:val="000000"/>
        </w:rPr>
        <w:t xml:space="preserve"> </w:t>
      </w:r>
      <w:r>
        <w:rPr>
          <w:rFonts w:cs="Times New Roman" w:ascii="Times New Roman" w:hAnsi="Times New Roman"/>
        </w:rPr>
        <w:t>A utilização de biofertilizante bovino constitui uma prática viável para a agricultura sustentável, por reduzir o uso de fertilizantes minerais e aproveitar dejetos orgânicos. Neste contexto, objetivou-se proporcionar conhecimentos técnicos à comunidade, com intuito de melhorar a produção de hortícolas, por meio do uso do biofertilizante bovino. Os produtores participaram ativamente das reuniões, onde houve a produção do biofertilizante, produção de mudas e substratos para mudas.  Com a execução do projeto, houve fornecimento e ganho de experiências entre a comunidade e os acadêmicos, por haver um compartilhamento dos conhecimentos adquiridos no âmbito acadêmico. Além de proporcionar aos pequenos produtores uma técnica simples, eficaz e de baixo custo para produção de hortaliças, que incrementam a renda na agricultura familiar e melhoram a produção de alface e pimentão.</w:t>
      </w:r>
    </w:p>
    <w:p>
      <w:pPr>
        <w:pStyle w:val="Normal"/>
        <w:tabs>
          <w:tab w:val="left" w:pos="1174" w:leader="none"/>
        </w:tabs>
        <w:spacing w:lineRule="auto" w:line="240" w:before="0" w:after="0"/>
        <w:jc w:val="both"/>
        <w:rPr>
          <w:rFonts w:ascii="Calibri" w:hAnsi="Calibri" w:cs="Calibri"/>
        </w:rPr>
      </w:pPr>
      <w:r>
        <w:rPr>
          <w:rFonts w:cs="Calibri"/>
        </w:rPr>
      </w:r>
    </w:p>
    <w:p>
      <w:pPr>
        <w:pStyle w:val="Normal"/>
        <w:spacing w:lineRule="auto" w:line="240" w:before="0" w:after="120"/>
        <w:ind w:right="-198" w:hanging="0"/>
        <w:jc w:val="both"/>
        <w:rPr>
          <w:rFonts w:ascii="Times New Roman" w:hAnsi="Times New Roman" w:cs="Times New Roman"/>
        </w:rPr>
      </w:pPr>
      <w:r>
        <w:rPr>
          <w:rFonts w:cs="Times New Roman" w:ascii="Times New Roman" w:hAnsi="Times New Roman"/>
          <w:b/>
          <w:bCs/>
        </w:rPr>
        <w:t>Palavras–chave:</w:t>
      </w:r>
      <w:r>
        <w:rPr>
          <w:rFonts w:cs="Times New Roman" w:ascii="Times New Roman" w:hAnsi="Times New Roman"/>
        </w:rPr>
        <w:t xml:space="preserve"> agricultura, hortaliças, produção, sustentável </w:t>
      </w:r>
    </w:p>
    <w:p>
      <w:pPr>
        <w:pStyle w:val="Normal"/>
        <w:spacing w:lineRule="auto" w:line="360" w:before="0" w:after="0"/>
        <w:ind w:right="-198" w:hanging="0"/>
        <w:rPr>
          <w:rFonts w:ascii="Times New Roman" w:hAnsi="Times New Roman" w:cs="Times New Roman"/>
          <w:b/>
          <w:b/>
          <w:bCs/>
          <w:sz w:val="24"/>
          <w:szCs w:val="24"/>
        </w:rPr>
      </w:pPr>
      <w:r>
        <w:rPr>
          <w:rFonts w:cs="Times New Roman" w:ascii="Times New Roman" w:hAnsi="Times New Roman"/>
          <w:b/>
          <w:bCs/>
          <w:sz w:val="24"/>
          <w:szCs w:val="24"/>
        </w:rPr>
        <w:t>1 INTRODUÇÃO</w:t>
      </w:r>
    </w:p>
    <w:p>
      <w:pPr>
        <w:pStyle w:val="Normal"/>
        <w:spacing w:lineRule="auto" w:line="240" w:before="0" w:after="0"/>
        <w:ind w:right="-198" w:firstLine="708"/>
        <w:jc w:val="both"/>
        <w:rPr>
          <w:rFonts w:ascii="Times New Roman" w:hAnsi="Times New Roman" w:cs="Times New Roman"/>
          <w:b/>
          <w:b/>
          <w:bCs/>
          <w:sz w:val="24"/>
          <w:szCs w:val="24"/>
        </w:rPr>
      </w:pPr>
      <w:r>
        <w:rPr>
          <w:rFonts w:cs="Times New Roman" w:ascii="Times New Roman" w:hAnsi="Times New Roman"/>
        </w:rPr>
        <w:t xml:space="preserve">Com área cultivada de aproximadamente 837 mil hectares e volume de produção em torno de 63 milhões de toneladas, a produção de hortaliças contempla mais de uma centena de espécies cultivadas em todas as regiões do país. A cadeia produtiva das hortaliças tem conquistado avanços consideráveis, porém, ainda existem desafios e gargalos que precisam ser superados (CNA, 2017).  </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Dessa forma, a produção de alimentos baseia-se na redução do uso de agrotóxicos e fertilizantes solúveis, buscando-se um sistema de agricultura ecologicamente sustentável e de baixo custo (MARTINS et al., 2015). Assim, o uso do biofertilizante bovino torna-se uma alternativa eficaz para melhoria da produção hortícola e consequentemente das características físicas, químicas e biológicas do solo, além de promover o saneamento ambiental (MEDEIRO; LOPES 2006), um dos maiores problemas ocasionados pelo descarte de dejetos no meio ambiente.</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xml:space="preserve">Segundo Alves et al.,( 2001), o biofertilizante pode ser definido </w:t>
      </w:r>
      <w:r>
        <w:rPr/>
        <w:t xml:space="preserve"> </w:t>
      </w:r>
      <w:r>
        <w:rPr>
          <w:rFonts w:cs="Times New Roman" w:ascii="Times New Roman" w:hAnsi="Times New Roman"/>
        </w:rPr>
        <w:t>como o resíduo final da fermentação de compostos orgânicos que contêm células vivas ou latentes de microrganismos (bactérias, leveduras, algas e fungos filamentosos) e por seus metabólicos, além de quelatos organominerais, atuando diretamente  sobre a matéria orgânica, gerando um afeito floculante no solo, melhorando o movimento do ar, da água e dos nutrientes, o que permite incrementar o crescimento e penetração das raízes no solo, proporcionando maior desenvolvimento das plantas</w:t>
      </w:r>
      <w:r>
        <w:rPr>
          <w:rFonts w:cs="Times New Roman" w:ascii="Times New Roman" w:hAnsi="Times New Roman"/>
          <w:sz w:val="24"/>
          <w:szCs w:val="24"/>
        </w:rPr>
        <w:t xml:space="preserve"> (</w:t>
      </w:r>
      <w:r>
        <w:rPr>
          <w:rFonts w:cs="Times New Roman" w:ascii="Times New Roman" w:hAnsi="Times New Roman"/>
        </w:rPr>
        <w:t xml:space="preserve">GALBIATTI et al., 2007).  </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xml:space="preserve">Este fertilizante natural, ao ser aplicado na cultura de interesse econômico, atua como fonte suplementar de micronutrientes e a sua ação pode também contribuir para o aumento da resistência natural das plantas ao ataque de pragas e patógenos, além de exercer ação direta sobre os fitoparasitas, devido à presença de substâncias tóxicas na calda (NUNES &amp; LEAL, 2001). </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r>
    </w:p>
    <w:p>
      <w:pPr>
        <w:pStyle w:val="Normal"/>
        <w:spacing w:before="119" w:after="119"/>
        <w:rPr>
          <w:rFonts w:ascii="Times New Roman" w:hAnsi="Times New Roman" w:cs="Times New Roman"/>
          <w:b/>
          <w:b/>
          <w:bCs/>
          <w:sz w:val="24"/>
          <w:szCs w:val="24"/>
        </w:rPr>
      </w:pPr>
      <w:r>
        <w:rPr>
          <w:rFonts w:cs="Times New Roman" w:ascii="Times New Roman" w:hAnsi="Times New Roman"/>
          <w:b/>
          <w:bCs/>
          <w:sz w:val="24"/>
          <w:szCs w:val="24"/>
        </w:rPr>
        <w:t>2 OBJETIVOS</w:t>
      </w:r>
    </w:p>
    <w:p>
      <w:pPr>
        <w:pStyle w:val="Normal"/>
        <w:spacing w:lineRule="auto" w:line="240" w:before="0" w:after="120"/>
        <w:rPr>
          <w:rFonts w:ascii="Times New Roman" w:hAnsi="Times New Roman" w:cs="Times New Roman"/>
          <w:b/>
          <w:b/>
          <w:bCs/>
        </w:rPr>
      </w:pPr>
      <w:r>
        <w:rPr>
          <w:rFonts w:cs="Times New Roman" w:ascii="Times New Roman" w:hAnsi="Times New Roman"/>
          <w:b/>
          <w:bCs/>
        </w:rPr>
        <w:t>2.1</w:t>
      </w:r>
      <w:r>
        <w:rPr>
          <w:rFonts w:cs="Times New Roman" w:ascii="Times New Roman" w:hAnsi="Times New Roman"/>
          <w:b/>
          <w:bCs/>
          <w:sz w:val="24"/>
          <w:szCs w:val="24"/>
        </w:rPr>
        <w:t xml:space="preserve"> </w:t>
      </w:r>
      <w:r>
        <w:rPr>
          <w:rFonts w:cs="Times New Roman" w:ascii="Times New Roman" w:hAnsi="Times New Roman"/>
          <w:b/>
          <w:bCs/>
        </w:rPr>
        <w:t>Objetivo geral</w:t>
      </w:r>
    </w:p>
    <w:p>
      <w:pPr>
        <w:pStyle w:val="Normal"/>
        <w:spacing w:lineRule="auto" w:line="240" w:before="0" w:after="120"/>
        <w:ind w:firstLine="709"/>
        <w:jc w:val="both"/>
        <w:rPr>
          <w:rFonts w:ascii="Times New Roman" w:hAnsi="Times New Roman" w:cs="Times New Roman"/>
        </w:rPr>
      </w:pPr>
      <w:r>
        <w:rPr>
          <w:rFonts w:cs="Times New Roman" w:ascii="Times New Roman" w:hAnsi="Times New Roman"/>
        </w:rPr>
        <w:t>Proporcionar conhecimentos técnicos à comunidade, com intuito de melhorar a produção de hortícolas, bem como produzir alimentos de forma simples, saudável e sustentável.</w:t>
      </w:r>
    </w:p>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t>2.2 Objetivos específicos</w:t>
      </w:r>
    </w:p>
    <w:p>
      <w:pPr>
        <w:pStyle w:val="Normal"/>
        <w:numPr>
          <w:ilvl w:val="0"/>
          <w:numId w:val="1"/>
        </w:numPr>
        <w:spacing w:lineRule="auto" w:line="240" w:before="0" w:after="0"/>
        <w:ind w:left="1440" w:hanging="360"/>
        <w:jc w:val="both"/>
        <w:rPr>
          <w:rFonts w:ascii="Times New Roman" w:hAnsi="Times New Roman" w:cs="Times New Roman"/>
        </w:rPr>
      </w:pPr>
      <w:r>
        <w:rPr>
          <w:rFonts w:cs="Times New Roman" w:ascii="Times New Roman" w:hAnsi="Times New Roman"/>
        </w:rPr>
        <w:t>Mostrar a eficácia produtiva na cultura da alface e pimentão.</w:t>
      </w:r>
    </w:p>
    <w:p>
      <w:pPr>
        <w:pStyle w:val="Normal"/>
        <w:numPr>
          <w:ilvl w:val="0"/>
          <w:numId w:val="1"/>
        </w:numPr>
        <w:spacing w:lineRule="auto" w:line="240" w:before="0" w:after="0"/>
        <w:ind w:left="1440" w:hanging="360"/>
        <w:jc w:val="both"/>
        <w:rPr>
          <w:rFonts w:ascii="Times New Roman" w:hAnsi="Times New Roman" w:cs="Times New Roman"/>
        </w:rPr>
      </w:pPr>
      <w:r>
        <w:rPr>
          <w:rFonts w:cs="Times New Roman" w:ascii="Times New Roman" w:hAnsi="Times New Roman"/>
        </w:rPr>
        <w:t>Demostrar a viabilidade técnica do biofertilizante bovino.</w:t>
      </w:r>
    </w:p>
    <w:p>
      <w:pPr>
        <w:pStyle w:val="Normal"/>
        <w:numPr>
          <w:ilvl w:val="0"/>
          <w:numId w:val="1"/>
        </w:numPr>
        <w:spacing w:lineRule="auto" w:line="240" w:before="0" w:after="0"/>
        <w:ind w:left="1440" w:hanging="360"/>
        <w:jc w:val="both"/>
        <w:rPr>
          <w:rFonts w:ascii="Times New Roman" w:hAnsi="Times New Roman" w:cs="Times New Roman"/>
        </w:rPr>
      </w:pPr>
      <w:r>
        <w:rPr>
          <w:rFonts w:cs="Times New Roman" w:ascii="Times New Roman" w:hAnsi="Times New Roman"/>
        </w:rPr>
        <w:t>Implantar técnica de fabricação do biofertilizante.</w:t>
      </w:r>
    </w:p>
    <w:p>
      <w:pPr>
        <w:pStyle w:val="Normal"/>
        <w:spacing w:lineRule="auto" w:line="240" w:before="0" w:after="0"/>
        <w:ind w:right="-198" w:hanging="0"/>
        <w:jc w:val="both"/>
        <w:rPr>
          <w:rFonts w:ascii="Times New Roman" w:hAnsi="Times New Roman" w:cs="Times New Roman"/>
        </w:rPr>
      </w:pPr>
      <w:r>
        <w:rPr>
          <w:rFonts w:cs="Times New Roman" w:ascii="Times New Roman" w:hAnsi="Times New Roman"/>
        </w:rPr>
        <w:tab/>
      </w:r>
    </w:p>
    <w:p>
      <w:pPr>
        <w:pStyle w:val="Normal"/>
        <w:spacing w:lineRule="auto" w:line="360" w:before="0" w:after="0"/>
        <w:ind w:right="-198" w:hanging="0"/>
        <w:rPr>
          <w:rFonts w:ascii="Times New Roman" w:hAnsi="Times New Roman" w:cs="Times New Roman"/>
          <w:b/>
          <w:b/>
          <w:bCs/>
          <w:sz w:val="24"/>
          <w:szCs w:val="24"/>
        </w:rPr>
      </w:pPr>
      <w:r>
        <w:rPr>
          <w:rFonts w:cs="Times New Roman" w:ascii="Times New Roman" w:hAnsi="Times New Roman"/>
          <w:b/>
          <w:bCs/>
          <w:sz w:val="24"/>
          <w:szCs w:val="24"/>
        </w:rPr>
        <w:t>3 JUSTIFICATIVA</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A região norte é caracterizada pela forte presença da agricultura familiar.</w:t>
      </w:r>
      <w:r>
        <w:rPr>
          <w:rFonts w:cs="Times New Roman" w:ascii="Times New Roman" w:hAnsi="Times New Roman"/>
          <w:b/>
          <w:bCs/>
        </w:rPr>
        <w:t xml:space="preserve"> </w:t>
      </w:r>
      <w:r>
        <w:rPr>
          <w:rFonts w:cs="Times New Roman" w:ascii="Times New Roman" w:hAnsi="Times New Roman"/>
        </w:rPr>
        <w:t>O município de Araguatins destaca-se com a maior quantidade de assentamentos federais no estado do Tocantins, tanto em números de projetos, quanto em número de famílias assentadas. Desta forma, esses produtores, em sua grande maioria, adotam a horticultura como atividade de subsistência, por apresentar rápido retorno econômico. No entanto, o manejo inadequado do solo, ocasiona decréscimo na produtividade, inviabilizando a atividade a longo prazo. Assim, o uso de práticas conservacionistas torna-se necessário para aumentar a eficiência produtiva dessas áreas.</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No âmbito do cultivo orgânico a utilização de biofertilizantes é cada vez maior, devido ser um material de fácil produção, baixo custo e com alto percentual de benefícios para o solo e principalmente para as plantas, como também, para o pequeno produtor rural, pois proporciona a produção de alimentos mais saudáveis para sua família e para a venda nas feiras livres e comércios locais (NETO, et al</w:t>
      </w:r>
      <w:r>
        <w:rPr>
          <w:rFonts w:cs="Times New Roman" w:ascii="Times New Roman" w:hAnsi="Times New Roman"/>
          <w:i/>
          <w:iCs/>
        </w:rPr>
        <w:t xml:space="preserve"> </w:t>
      </w:r>
      <w:r>
        <w:rPr>
          <w:rFonts w:cs="Times New Roman" w:ascii="Times New Roman" w:hAnsi="Times New Roman"/>
        </w:rPr>
        <w:t xml:space="preserve">2013). O biofertilizante é um adubo orgânico que pode ser líquido ou sólido resultante de um processo de decomposição da matéria orgânica (animal ou vegetal), pela fermentação microbiana, com ou sem a presença de oxigênio, ocorrida em meio líquido (PENTEADO, 2007). </w:t>
      </w:r>
    </w:p>
    <w:p>
      <w:pPr>
        <w:pStyle w:val="Normal"/>
        <w:spacing w:lineRule="auto" w:line="240" w:before="0" w:after="0"/>
        <w:ind w:firstLine="708"/>
        <w:jc w:val="both"/>
        <w:rPr>
          <w:rFonts w:ascii="Times New Roman" w:hAnsi="Times New Roman" w:cs="Times New Roman"/>
        </w:rPr>
      </w:pPr>
      <w:r>
        <w:rPr>
          <w:rFonts w:cs="Times New Roman" w:ascii="Times New Roman" w:hAnsi="Times New Roman"/>
        </w:rPr>
        <w:t>Trabalhando com hortaliças, Deleito, (2005), avaliou a ação do biofertilizante Agrobio sobre a mancha-bacteriana e desenvolvimento de mudas de pimentão, observou que houve menor incidência da doença e mudas mais vigorosas, apresentando maior área folear na cultura de interesse, corroborando com CHICONATO et al.,(2013), que avaliando diferentes dosagens de biofertilizante  na cultura da alface, concluiu que houve um efeito significativo nas variáveis  altura, número de folhas, diâmetro e massa fresca da parte aérea das plantas, evidenciando o efeito promissor do biofertilizante.</w:t>
      </w:r>
    </w:p>
    <w:p>
      <w:pPr>
        <w:pStyle w:val="Normal"/>
        <w:spacing w:lineRule="auto" w:line="240" w:before="0" w:after="0"/>
        <w:rPr>
          <w:rFonts w:ascii="Times-Roman" w:hAnsi="Times-Roman" w:cs="Times-Roman"/>
        </w:rPr>
      </w:pPr>
      <w:r>
        <w:rPr>
          <w:rFonts w:cs="Times-Roman" w:ascii="Times-Roman" w:hAnsi="Times-Roman"/>
        </w:rPr>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r>
    </w:p>
    <w:p>
      <w:pPr>
        <w:pStyle w:val="Normal"/>
        <w:spacing w:lineRule="auto" w:line="360" w:before="119" w:after="119"/>
        <w:rPr>
          <w:rFonts w:ascii="Times New Roman" w:hAnsi="Times New Roman" w:cs="Times New Roman"/>
          <w:b/>
          <w:b/>
          <w:bCs/>
          <w:sz w:val="24"/>
          <w:szCs w:val="24"/>
        </w:rPr>
      </w:pPr>
      <w:r>
        <w:rPr>
          <w:rFonts w:cs="Times New Roman" w:ascii="Times New Roman" w:hAnsi="Times New Roman"/>
          <w:b/>
          <w:bCs/>
          <w:sz w:val="24"/>
          <w:szCs w:val="24"/>
        </w:rPr>
        <w:t>4 METODOLOGIA DE TRABALHO</w:t>
      </w:r>
    </w:p>
    <w:p>
      <w:pPr>
        <w:pStyle w:val="Normal"/>
        <w:spacing w:lineRule="auto" w:line="240" w:before="0" w:after="0"/>
        <w:ind w:firstLine="708"/>
        <w:jc w:val="both"/>
        <w:rPr>
          <w:rFonts w:ascii="Times New Roman" w:hAnsi="Times New Roman" w:cs="Times New Roman"/>
        </w:rPr>
      </w:pPr>
      <w:r>
        <w:rPr>
          <w:rFonts w:cs="Times New Roman" w:ascii="Times New Roman" w:hAnsi="Times New Roman"/>
        </w:rPr>
        <w:t>O projeto foi desenvolvido no assentamento Boa Sorte, localizado no município de Araguatins – TO, no período de Agosto de 2016 a Janeiro de 2017.</w:t>
      </w:r>
    </w:p>
    <w:p>
      <w:pPr>
        <w:pStyle w:val="Normal"/>
        <w:spacing w:lineRule="auto" w:line="240" w:before="0" w:after="0"/>
        <w:ind w:firstLine="708"/>
        <w:jc w:val="both"/>
        <w:rPr>
          <w:rFonts w:ascii="Liberation Serif" w:hAnsi="Liberation Serif" w:cs="Liberation Serif"/>
        </w:rPr>
      </w:pPr>
      <w:r>
        <w:rPr>
          <w:rFonts w:cs="Times New Roman" w:ascii="Times New Roman" w:hAnsi="Times New Roman"/>
        </w:rPr>
        <w:t xml:space="preserve">O biofertilizante produzido foi oriundo de resíduos orgânicos provenientes de bovinos e uma mistura de água, farinha de ossos, melaço de cana, cinzas de madeira, leite e outros aditivos </w:t>
      </w:r>
      <w:r>
        <w:rPr>
          <w:rFonts w:cs="Times New Roman" w:ascii="Times New Roman" w:hAnsi="Times New Roman"/>
          <w:b/>
          <w:bCs/>
        </w:rPr>
        <w:t>(Figura 1)</w:t>
      </w:r>
      <w:r>
        <w:rPr>
          <w:rFonts w:cs="Times New Roman" w:ascii="Times New Roman" w:hAnsi="Times New Roman"/>
        </w:rPr>
        <w:t>.</w:t>
      </w:r>
      <w:r>
        <w:rPr>
          <w:rFonts w:cs="Liberation Serif" w:ascii="Liberation Serif" w:hAnsi="Liberation Serif"/>
        </w:rPr>
        <w:t xml:space="preserve"> </w:t>
      </w:r>
    </w:p>
    <w:p>
      <w:pPr>
        <w:pStyle w:val="Normal"/>
        <w:spacing w:lineRule="auto" w:line="240" w:before="0" w:after="0"/>
        <w:ind w:firstLine="708"/>
        <w:jc w:val="both"/>
        <w:rPr>
          <w:rFonts w:ascii="Liberation Serif" w:hAnsi="Liberation Serif" w:cs="Liberation Serif"/>
        </w:rPr>
      </w:pPr>
      <w:r>
        <w:rPr>
          <w:rFonts w:cs="Liberation Serif" w:ascii="Liberation Serif" w:hAnsi="Liberation Serif"/>
        </w:rPr>
      </w:r>
    </w:p>
    <w:p>
      <w:pPr>
        <w:pStyle w:val="Normal"/>
        <w:spacing w:lineRule="auto" w:line="240" w:before="0" w:after="0"/>
        <w:rPr>
          <w:rFonts w:ascii="Times New Roman" w:hAnsi="Times New Roman" w:cs="Times New Roman"/>
          <w:sz w:val="20"/>
          <w:szCs w:val="20"/>
        </w:rPr>
      </w:pPr>
      <w:r>
        <w:rPr>
          <w:rFonts w:cs="Times New Roman" w:ascii="Times New Roman" w:hAnsi="Times New Roman"/>
          <w:b/>
          <w:bCs/>
          <w:sz w:val="20"/>
          <w:szCs w:val="20"/>
        </w:rPr>
        <w:t>Figura 1.</w:t>
      </w:r>
      <w:r>
        <w:rPr>
          <w:rFonts w:cs="Times New Roman" w:ascii="Times New Roman" w:hAnsi="Times New Roman"/>
          <w:sz w:val="20"/>
          <w:szCs w:val="20"/>
        </w:rPr>
        <w:t xml:space="preserve"> Produção e confecção do Biofertilizante bovino.</w:t>
      </w:r>
    </w:p>
    <w:p>
      <w:pPr>
        <w:pStyle w:val="Normal"/>
        <w:spacing w:lineRule="auto" w:line="240" w:before="0" w:after="0"/>
        <w:ind w:firstLine="708"/>
        <w:jc w:val="center"/>
        <w:rPr>
          <w:rFonts w:ascii="Calibri" w:hAnsi="Calibri" w:cs="Calibri"/>
        </w:rPr>
      </w:pPr>
      <w:r>
        <w:rPr/>
        <w:drawing>
          <wp:inline distT="0" distB="0" distL="19050" distR="1270">
            <wp:extent cx="3999230" cy="2520315"/>
            <wp:effectExtent l="0" t="0" r="0" b="0"/>
            <wp:docPr id="1"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
                    <pic:cNvPicPr>
                      <a:picLocks noChangeAspect="1" noChangeArrowheads="1"/>
                    </pic:cNvPicPr>
                  </pic:nvPicPr>
                  <pic:blipFill>
                    <a:blip r:embed="rId6"/>
                    <a:stretch>
                      <a:fillRect/>
                    </a:stretch>
                  </pic:blipFill>
                  <pic:spPr bwMode="auto">
                    <a:xfrm>
                      <a:off x="0" y="0"/>
                      <a:ext cx="3999230" cy="2520315"/>
                    </a:xfrm>
                    <a:prstGeom prst="rect">
                      <a:avLst/>
                    </a:prstGeom>
                  </pic:spPr>
                </pic:pic>
              </a:graphicData>
            </a:graphic>
          </wp:inline>
        </w:drawing>
      </w:r>
    </w:p>
    <w:p>
      <w:pPr>
        <w:pStyle w:val="Normal"/>
        <w:spacing w:lineRule="auto" w:line="240" w:before="0" w:after="0"/>
        <w:rPr>
          <w:rFonts w:ascii="Times New Roman" w:hAnsi="Times New Roman" w:cs="Times New Roman"/>
          <w:sz w:val="20"/>
          <w:szCs w:val="20"/>
        </w:rPr>
      </w:pPr>
      <w:r>
        <w:rPr>
          <w:rFonts w:cs="Times New Roman" w:ascii="Times New Roman" w:hAnsi="Times New Roman"/>
          <w:b/>
          <w:bCs/>
          <w:sz w:val="20"/>
          <w:szCs w:val="20"/>
        </w:rPr>
        <w:t>Fonte:</w:t>
      </w:r>
      <w:r>
        <w:rPr>
          <w:rFonts w:cs="Times New Roman" w:ascii="Times New Roman" w:hAnsi="Times New Roman"/>
          <w:sz w:val="20"/>
          <w:szCs w:val="20"/>
        </w:rPr>
        <w:t xml:space="preserve"> Érica Chaves, 2016.</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rPr>
        <w:t>A atividade foi desenvolvida baseada nos conhecimentos da cadeia hortícola e compostagem do curso bacharelado em agronomia</w:t>
      </w:r>
      <w:r>
        <w:rPr>
          <w:rFonts w:cs="Times New Roman" w:ascii="Times New Roman" w:hAnsi="Times New Roman"/>
          <w:sz w:val="24"/>
          <w:szCs w:val="24"/>
        </w:rPr>
        <w:t xml:space="preserve">. </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Para que a técnica de produção do biofertilizante fosse alcançada por maior público, realizamos visitas técnicas na comunidade, onde estabelecemos dois polos de produção, destinados à confecção e aplicação do biofertilizante bovino via solo, nas culturas da alface e pimentão. Ao serem iniciadas as atividades do projeto, os produtores tiveram participação ativa nas reuniões, onde foram adquiridos os materiais necessários para confeccionar o biofertilizante. Posteriormente, colocou-se em prática a técnica de fabricação, com a finalidade de demostrar a praticidade e rapidez para o preparo deste fertilizante natural.</w:t>
      </w:r>
    </w:p>
    <w:p>
      <w:pPr>
        <w:pStyle w:val="Normal"/>
        <w:spacing w:lineRule="auto" w:line="240" w:before="0" w:after="0"/>
        <w:ind w:firstLine="708"/>
        <w:jc w:val="both"/>
        <w:rPr>
          <w:rFonts w:ascii="Times New Roman" w:hAnsi="Times New Roman" w:cs="Times New Roman"/>
        </w:rPr>
      </w:pPr>
      <w:r>
        <w:rPr>
          <w:rFonts w:cs="Times New Roman" w:ascii="Times New Roman" w:hAnsi="Times New Roman"/>
        </w:rPr>
        <w:t>As aplicações via solo, ocorriam semanalmente, em uma proporção de 1 para 2, ou seja, uma dosagem de 5 litros de biofertilizante diluídos em 10 litros de água, aplicados em quatro canteiros de 0,5 m de largura por 3m de comprimento. Atendendo as recomendações de Santos (1992), o qual relata que em olerícolas recomenda-se o emprego de biofertilizantes por meio de pulverizações semanais, para permitir um desenvolvimento perfeito das plantas, uma vez que apresentam ciclo vegetativo e reprodutivo curto, exigindo uma complementação mais rápida e eficiente.</w:t>
      </w:r>
      <w:r>
        <w:rPr/>
        <w:t xml:space="preserve"> </w:t>
      </w:r>
      <w:r>
        <w:rPr>
          <w:rFonts w:cs="Times New Roman" w:ascii="Times New Roman" w:hAnsi="Times New Roman"/>
        </w:rPr>
        <w:t>Sua ação pode ser ainda, resultado da presença de antibióticos e da intensa atividade.</w:t>
      </w:r>
    </w:p>
    <w:p>
      <w:pPr>
        <w:pStyle w:val="Normal"/>
        <w:spacing w:lineRule="auto" w:line="240" w:before="0" w:after="0"/>
        <w:jc w:val="both"/>
        <w:rPr>
          <w:rFonts w:ascii="Times New Roman" w:hAnsi="Times New Roman" w:cs="Times New Roman"/>
        </w:rPr>
      </w:pPr>
      <w:r>
        <w:rPr>
          <w:rFonts w:cs="Times New Roman" w:ascii="Times New Roman" w:hAnsi="Times New Roman"/>
        </w:rPr>
        <w:t>microbiana propiciada pelas aplicações frequentes do produto (DELEITO, 2002).</w:t>
      </w:r>
    </w:p>
    <w:p>
      <w:pPr>
        <w:pStyle w:val="Normal"/>
        <w:spacing w:lineRule="auto" w:line="240" w:before="0" w:after="0"/>
        <w:ind w:firstLine="708"/>
        <w:jc w:val="both"/>
        <w:rPr>
          <w:rFonts w:ascii="Times New Roman" w:hAnsi="Times New Roman" w:cs="Times New Roman"/>
        </w:rPr>
      </w:pPr>
      <w:r>
        <w:rPr>
          <w:rFonts w:cs="Times New Roman" w:ascii="Times New Roman" w:hAnsi="Times New Roman"/>
        </w:rPr>
        <w:t>Durante o desenvolvimento do trabalho, implantou-se a técnica de preparo de mudas</w:t>
      </w:r>
      <w:r>
        <w:rPr>
          <w:rFonts w:cs="Times New Roman" w:ascii="Times New Roman" w:hAnsi="Times New Roman"/>
          <w:b/>
          <w:bCs/>
        </w:rPr>
        <w:t xml:space="preserve"> (Figura 3),</w:t>
      </w:r>
      <w:r>
        <w:rPr>
          <w:rFonts w:cs="Times New Roman" w:ascii="Times New Roman" w:hAnsi="Times New Roman"/>
        </w:rPr>
        <w:t xml:space="preserve"> bem como produção de substratos para germinação das sementes da cultura da alface e do pimentão que foram utilizadas como cultura indicadora da eficiência do biofertilizante. </w:t>
      </w:r>
    </w:p>
    <w:p>
      <w:pPr>
        <w:pStyle w:val="Normal"/>
        <w:spacing w:lineRule="auto" w:line="240" w:before="0" w:after="0"/>
        <w:jc w:val="both"/>
        <w:rPr>
          <w:rFonts w:ascii="Times New Roman" w:hAnsi="Times New Roman" w:cs="Times New Roman"/>
          <w:b/>
          <w:b/>
          <w:bCs/>
          <w:sz w:val="20"/>
          <w:szCs w:val="20"/>
        </w:rPr>
      </w:pPr>
      <w:r>
        <w:rPr>
          <w:rFonts w:cs="Times New Roman" w:ascii="Times New Roman" w:hAnsi="Times New Roman"/>
          <w:b/>
          <w:bCs/>
          <w:sz w:val="20"/>
          <w:szCs w:val="20"/>
        </w:rPr>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b/>
          <w:bCs/>
          <w:sz w:val="20"/>
          <w:szCs w:val="20"/>
        </w:rPr>
        <w:t xml:space="preserve">Figura 3. </w:t>
      </w:r>
      <w:r>
        <w:rPr>
          <w:rFonts w:cs="Times New Roman" w:ascii="Times New Roman" w:hAnsi="Times New Roman"/>
          <w:sz w:val="20"/>
          <w:szCs w:val="20"/>
        </w:rPr>
        <w:t>Produção de mudas de pimentão e alface.</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drawing>
          <wp:inline distT="0" distB="0" distL="0" distR="0">
            <wp:extent cx="4286250" cy="2560320"/>
            <wp:effectExtent l="0" t="0" r="0" b="0"/>
            <wp:docPr id="2" name="Imagem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5" descr=""/>
                    <pic:cNvPicPr>
                      <a:picLocks noChangeAspect="1" noChangeArrowheads="1"/>
                    </pic:cNvPicPr>
                  </pic:nvPicPr>
                  <pic:blipFill>
                    <a:blip r:embed="rId7"/>
                    <a:stretch>
                      <a:fillRect/>
                    </a:stretch>
                  </pic:blipFill>
                  <pic:spPr bwMode="auto">
                    <a:xfrm>
                      <a:off x="0" y="0"/>
                      <a:ext cx="4286250" cy="2560320"/>
                    </a:xfrm>
                    <a:prstGeom prst="rect">
                      <a:avLst/>
                    </a:prstGeom>
                  </pic:spPr>
                </pic:pic>
              </a:graphicData>
            </a:graphic>
          </wp:inline>
        </w:drawing>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b/>
          <w:bCs/>
          <w:sz w:val="20"/>
          <w:szCs w:val="20"/>
        </w:rPr>
        <w:t>Fonte:</w:t>
      </w:r>
      <w:r>
        <w:rPr>
          <w:rFonts w:cs="Times New Roman" w:ascii="Times New Roman" w:hAnsi="Times New Roman"/>
          <w:sz w:val="20"/>
          <w:szCs w:val="20"/>
        </w:rPr>
        <w:t xml:space="preserve"> Thalita Rodrigues Silva, 2016.</w:t>
      </w:r>
    </w:p>
    <w:p>
      <w:pPr>
        <w:pStyle w:val="Normal"/>
        <w:spacing w:lineRule="auto" w:line="240" w:before="0" w:after="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240" w:before="0" w:after="0"/>
        <w:jc w:val="both"/>
        <w:rPr>
          <w:rFonts w:ascii="Times New Roman" w:hAnsi="Times New Roman" w:cs="Times New Roman"/>
          <w:b/>
          <w:b/>
          <w:sz w:val="24"/>
          <w:szCs w:val="24"/>
        </w:rPr>
      </w:pPr>
      <w:bookmarkStart w:id="0" w:name="_GoBack"/>
      <w:bookmarkEnd w:id="0"/>
      <w:r>
        <w:rPr>
          <w:rFonts w:cs="Times New Roman" w:ascii="Times New Roman" w:hAnsi="Times New Roman"/>
          <w:b/>
          <w:sz w:val="24"/>
          <w:szCs w:val="24"/>
        </w:rPr>
        <w:t>5 RESULTADOS E DISCUSSÕES</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sz w:val="24"/>
          <w:szCs w:val="24"/>
        </w:rPr>
        <w:t xml:space="preserve"> </w:t>
      </w:r>
      <w:r>
        <w:rPr>
          <w:rFonts w:cs="Times New Roman" w:ascii="Times New Roman" w:hAnsi="Times New Roman"/>
        </w:rPr>
        <w:t xml:space="preserve">De acordo Oliveira et al., (2014), os biofertilizantes líquidos podem ser aplicados sobre a folha (adubo foliar), sobre as sementes, sobre o solo via fertirrigação, hidroponia, promovendo a melhoria das propriedades químicas do solo podendo elevar os teores de P (fósforo), Ca (Cálcio) e Mg (Magnésio) de acordo com a necessidade nutricional de cada hortaliça. Nesse contexto, foi observado, que houve um incremento na massa foliar da alface e melhor índice de pegamento nos canteiros contendo biofertilizante </w:t>
      </w:r>
      <w:r>
        <w:rPr>
          <w:rFonts w:cs="Times New Roman" w:ascii="Times New Roman" w:hAnsi="Times New Roman"/>
          <w:b/>
        </w:rPr>
        <w:t>(Figura 4)</w:t>
      </w:r>
      <w:r>
        <w:rPr>
          <w:rFonts w:cs="Times New Roman" w:ascii="Times New Roman" w:hAnsi="Times New Roman"/>
        </w:rPr>
        <w:t xml:space="preserve">. Tais resultados estão relacionados não somente com a </w:t>
      </w:r>
    </w:p>
    <w:p>
      <w:pPr>
        <w:pStyle w:val="Normal"/>
        <w:spacing w:lineRule="auto" w:line="240" w:before="0" w:after="0"/>
        <w:jc w:val="both"/>
        <w:rPr>
          <w:rFonts w:ascii="Times New Roman" w:hAnsi="Times New Roman" w:cs="Times New Roman"/>
        </w:rPr>
      </w:pPr>
      <w:r>
        <w:rPr>
          <w:rFonts w:cs="Times New Roman" w:ascii="Times New Roman" w:hAnsi="Times New Roman"/>
        </w:rPr>
        <w:t>melhoria geral da fertilidade, mas, também, com melhor absorção de nutrientes. O fornecimento adequado de nutrientes, como o N, aliado a outros fatores, expande a área fotossintética, assegura o desenvolvimento das plantas pelo crescimento vegetativo e eleva o potencial produtivo das culturas (FILGUEIRA, 2000). Além da rápida absorção de nutrientes, de modo que é muito útil para as culturas de ciclo curto ou no tratamento rápido de deficiências nutricionais das plantas (SILVA et al.,</w:t>
      </w:r>
      <w:r>
        <w:rPr>
          <w:rFonts w:cs="Times New Roman" w:ascii="Times New Roman" w:hAnsi="Times New Roman"/>
          <w:i/>
          <w:iCs/>
        </w:rPr>
        <w:t xml:space="preserve"> </w:t>
      </w:r>
      <w:r>
        <w:rPr>
          <w:rFonts w:cs="Times New Roman" w:ascii="Times New Roman" w:hAnsi="Times New Roman"/>
        </w:rPr>
        <w:t xml:space="preserve">2008). </w:t>
      </w:r>
    </w:p>
    <w:p>
      <w:pPr>
        <w:pStyle w:val="Normal"/>
        <w:spacing w:lineRule="auto" w:line="240"/>
        <w:jc w:val="both"/>
        <w:rPr/>
      </w:pPr>
      <w:r>
        <w:rPr>
          <w:rFonts w:cs="Times New Roman" w:ascii="Times New Roman" w:hAnsi="Times New Roman"/>
          <w:b/>
          <w:sz w:val="20"/>
          <w:szCs w:val="20"/>
        </w:rPr>
        <w:t xml:space="preserve">Figura 4. </w:t>
      </w:r>
      <w:r>
        <w:rPr>
          <w:rFonts w:cs="Times New Roman" w:ascii="Times New Roman" w:hAnsi="Times New Roman"/>
          <w:sz w:val="20"/>
          <w:szCs w:val="20"/>
        </w:rPr>
        <w:t>À esquerda canteiros onde foi aplicado o biofertilizante. À direita canteiros sem a utilização do biofertilizante.</w:t>
      </w:r>
    </w:p>
    <w:p>
      <w:pPr>
        <w:pStyle w:val="Normal"/>
        <w:spacing w:lineRule="auto" w:line="240" w:before="0" w:after="0"/>
        <w:rPr>
          <w:rFonts w:ascii="Times New Roman" w:hAnsi="Times New Roman" w:cs="Times New Roman"/>
          <w:lang w:eastAsia="pt-BR"/>
        </w:rPr>
      </w:pPr>
      <w:r>
        <w:rPr>
          <w:rFonts w:cs="Times New Roman" w:ascii="Times New Roman" w:hAnsi="Times New Roman"/>
          <w:lang w:eastAsia="pt-BR"/>
        </w:rPr>
        <w:t xml:space="preserve">             </w:t>
      </w:r>
      <w:r>
        <w:rPr>
          <w:rFonts w:cs="Times New Roman" w:ascii="Times New Roman" w:hAnsi="Times New Roman"/>
          <w:lang w:eastAsia="pt-BR"/>
        </w:rPr>
        <w:drawing>
          <wp:inline distT="0" distB="0" distL="0" distR="0">
            <wp:extent cx="4191000" cy="2743200"/>
            <wp:effectExtent l="0" t="0" r="0" b="0"/>
            <wp:docPr id="3" name="Imagem 8" descr="C:\Users\Érica Chaves\Documents\Bluetooth Folder\IMG-20161103-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8" descr="C:\Users\Érica Chaves\Documents\Bluetooth Folder\IMG-20161103-WA0004.jpg"/>
                    <pic:cNvPicPr>
                      <a:picLocks noChangeAspect="1" noChangeArrowheads="1"/>
                    </pic:cNvPicPr>
                  </pic:nvPicPr>
                  <pic:blipFill>
                    <a:blip r:embed="rId8"/>
                    <a:stretch>
                      <a:fillRect/>
                    </a:stretch>
                  </pic:blipFill>
                  <pic:spPr bwMode="auto">
                    <a:xfrm>
                      <a:off x="0" y="0"/>
                      <a:ext cx="4191000" cy="2743200"/>
                    </a:xfrm>
                    <a:prstGeom prst="rect">
                      <a:avLst/>
                    </a:prstGeom>
                  </pic:spPr>
                </pic:pic>
              </a:graphicData>
            </a:graphic>
          </wp:inline>
        </w:drawing>
      </w:r>
    </w:p>
    <w:p>
      <w:pPr>
        <w:pStyle w:val="Normal"/>
        <w:spacing w:lineRule="auto" w:line="240" w:before="0" w:after="0"/>
        <w:rPr>
          <w:rFonts w:ascii="Times New Roman" w:hAnsi="Times New Roman" w:cs="Times New Roman"/>
          <w:sz w:val="20"/>
          <w:szCs w:val="20"/>
          <w:lang w:eastAsia="pt-BR"/>
        </w:rPr>
      </w:pPr>
      <w:r>
        <w:rPr>
          <w:rFonts w:cs="Times New Roman" w:ascii="Times New Roman" w:hAnsi="Times New Roman"/>
          <w:b/>
          <w:sz w:val="20"/>
          <w:szCs w:val="20"/>
          <w:lang w:eastAsia="pt-BR"/>
        </w:rPr>
        <w:t>Fonte:</w:t>
      </w:r>
      <w:r>
        <w:rPr>
          <w:rFonts w:cs="Times New Roman" w:ascii="Times New Roman" w:hAnsi="Times New Roman"/>
          <w:sz w:val="20"/>
          <w:szCs w:val="20"/>
          <w:lang w:eastAsia="pt-BR"/>
        </w:rPr>
        <w:t xml:space="preserve"> Thalita Rodrigues Silva, 2017.</w:t>
      </w:r>
    </w:p>
    <w:p>
      <w:pPr>
        <w:pStyle w:val="Normal"/>
        <w:spacing w:lineRule="auto" w:line="240" w:before="119" w:after="119"/>
        <w:jc w:val="both"/>
        <w:rPr>
          <w:rFonts w:ascii="Times New Roman" w:hAnsi="Times New Roman" w:cs="Times New Roman"/>
          <w:b/>
          <w:b/>
          <w:bCs/>
          <w:sz w:val="24"/>
          <w:szCs w:val="24"/>
        </w:rPr>
      </w:pPr>
      <w:r>
        <w:rPr>
          <w:rFonts w:cs="Times New Roman" w:ascii="Times New Roman" w:hAnsi="Times New Roman"/>
          <w:b/>
          <w:bCs/>
          <w:sz w:val="24"/>
          <w:szCs w:val="24"/>
        </w:rPr>
        <w:t>5 CONSIDERAÇÕES FINAIS</w:t>
      </w:r>
    </w:p>
    <w:p>
      <w:pPr>
        <w:pStyle w:val="Normal"/>
        <w:spacing w:lineRule="auto" w:line="240" w:before="119" w:after="119"/>
        <w:ind w:firstLine="708"/>
        <w:jc w:val="both"/>
        <w:rPr>
          <w:rFonts w:ascii="Times New Roman" w:hAnsi="Times New Roman" w:cs="Times New Roman"/>
          <w:b/>
          <w:b/>
          <w:bCs/>
          <w:sz w:val="24"/>
          <w:szCs w:val="24"/>
        </w:rPr>
      </w:pPr>
      <w:r>
        <w:rPr>
          <w:rFonts w:cs="Times New Roman" w:ascii="Times New Roman" w:hAnsi="Times New Roman"/>
          <w:sz w:val="24"/>
          <w:szCs w:val="24"/>
        </w:rPr>
        <w:t>Com a execução do projeto, houve fornecimento e ganho de experiências entre a comunidade e os acadêmicos, por haver um compartilhamento dos conhecimentos adquiridos no âmbito acadêmico. Além de proporcionar aos pequenos produtores uma técnica simples, eficaz e de baixo custo para produção de hortaliças, que incrementam a renda na agricultura familiar e melhoram a produção de alface e pimentão. Contudo, o uso deste fertilizante natural, diminui o uso de agrotóxico na horticultura, combate pragas, agindo como inseticida e reestabelece o saneamento ambiental por reaproveitar dejetos orgânicos.</w:t>
      </w:r>
    </w:p>
    <w:p>
      <w:pPr>
        <w:pStyle w:val="Normal"/>
        <w:spacing w:lineRule="auto" w:line="240" w:before="119" w:after="119"/>
        <w:jc w:val="both"/>
        <w:rPr>
          <w:rFonts w:ascii="Times New Roman" w:hAnsi="Times New Roman" w:cs="Times New Roman"/>
          <w:b/>
          <w:b/>
          <w:bCs/>
          <w:sz w:val="24"/>
          <w:szCs w:val="24"/>
        </w:rPr>
      </w:pPr>
      <w:r>
        <w:rPr>
          <w:rFonts w:cs="Times New Roman" w:ascii="Times New Roman" w:hAnsi="Times New Roman"/>
          <w:b/>
          <w:bCs/>
          <w:sz w:val="24"/>
          <w:szCs w:val="24"/>
        </w:rPr>
        <w:t>REFERÊNCIAS</w:t>
      </w:r>
    </w:p>
    <w:p>
      <w:pPr>
        <w:pStyle w:val="Normal"/>
        <w:spacing w:lineRule="auto" w:line="240" w:before="119" w:after="119"/>
        <w:jc w:val="both"/>
        <w:rPr>
          <w:rFonts w:ascii="Times New Roman" w:hAnsi="Times New Roman" w:cs="Times New Roman"/>
          <w:b/>
          <w:b/>
          <w:bCs/>
          <w:sz w:val="24"/>
          <w:szCs w:val="24"/>
        </w:rPr>
      </w:pPr>
      <w:r>
        <w:rPr>
          <w:rFonts w:cs="Times New Roman" w:ascii="Times New Roman" w:hAnsi="Times New Roman"/>
        </w:rPr>
        <w:t xml:space="preserve">ALVES, S. B.; MEDEIROS, M. B.; TAMAI, M. A.; LOPES, R. B. </w:t>
      </w:r>
      <w:r>
        <w:rPr>
          <w:rFonts w:cs="Times New Roman" w:ascii="Times New Roman" w:hAnsi="Times New Roman"/>
          <w:b/>
        </w:rPr>
        <w:t>Trofobiose e microrganismos na proteção de plantas: Biofertilizantes e entomopatógenos na citricultura orgânica</w:t>
      </w:r>
      <w:r>
        <w:rPr>
          <w:rFonts w:cs="Times New Roman" w:ascii="Times New Roman" w:hAnsi="Times New Roman"/>
        </w:rPr>
        <w:t>. Biotecnologia Ciência &amp; Desenvolvimento, n.21, p.16-21, 2001.</w:t>
      </w:r>
    </w:p>
    <w:p>
      <w:pPr>
        <w:pStyle w:val="Normal"/>
        <w:spacing w:lineRule="auto" w:line="240" w:before="119" w:after="119"/>
        <w:jc w:val="both"/>
        <w:rPr>
          <w:rFonts w:ascii="Times New Roman" w:hAnsi="Times New Roman" w:cs="Times New Roman"/>
          <w:b/>
          <w:b/>
          <w:bCs/>
        </w:rPr>
      </w:pPr>
      <w:r>
        <w:rPr>
          <w:rFonts w:cs="Times New Roman" w:ascii="Times New Roman" w:hAnsi="Times New Roman"/>
          <w:b/>
          <w:bCs/>
        </w:rPr>
      </w:r>
    </w:p>
    <w:p>
      <w:pPr>
        <w:pStyle w:val="Normal"/>
        <w:spacing w:lineRule="auto" w:line="240" w:before="119" w:after="119"/>
        <w:jc w:val="both"/>
        <w:rPr>
          <w:rFonts w:ascii="Times New Roman" w:hAnsi="Times New Roman" w:cs="Times New Roman"/>
          <w:b/>
          <w:b/>
          <w:bCs/>
        </w:rPr>
      </w:pPr>
      <w:r>
        <w:rPr>
          <w:rFonts w:cs="Times New Roman" w:ascii="Times New Roman" w:hAnsi="Times New Roman"/>
          <w:bCs/>
        </w:rPr>
        <w:t>CHICONATO,D.A; SIMONI,F; GALBIATTI, J.A;FRANCO,C.F; CARAMELO,A.C.</w:t>
      </w:r>
      <w:r>
        <w:rPr>
          <w:rFonts w:cs="Times New Roman" w:ascii="Times New Roman" w:hAnsi="Times New Roman"/>
          <w:b/>
          <w:bCs/>
        </w:rPr>
        <w:t xml:space="preserve"> Resposta da alface à aplicação de biofertilizante sob dois níveis de Irrigação. Biosci. J., </w:t>
      </w:r>
      <w:r>
        <w:rPr>
          <w:rFonts w:cs="Times New Roman" w:ascii="Times New Roman" w:hAnsi="Times New Roman"/>
        </w:rPr>
        <w:t>Uberlândia, v. 29, n. 2, p. 392-399, Mar./Abr. 2013.</w:t>
      </w:r>
    </w:p>
    <w:p>
      <w:pPr>
        <w:pStyle w:val="Normal"/>
        <w:spacing w:lineRule="auto" w:line="240" w:before="0" w:after="0"/>
        <w:rPr>
          <w:rFonts w:ascii="Liberation Serif" w:hAnsi="Liberation Serif" w:cs="Liberation Serif"/>
        </w:rPr>
      </w:pPr>
      <w:r>
        <w:rPr>
          <w:rFonts w:cs="Times New Roman" w:ascii="Times New Roman" w:hAnsi="Times New Roman"/>
        </w:rPr>
        <w:t xml:space="preserve">CNA. </w:t>
      </w:r>
      <w:r>
        <w:rPr>
          <w:rFonts w:cs="Times New Roman" w:ascii="Times New Roman" w:hAnsi="Times New Roman"/>
          <w:b/>
          <w:bCs/>
        </w:rPr>
        <w:t>Hortaliças</w:t>
      </w:r>
      <w:r>
        <w:rPr>
          <w:rFonts w:cs="Times New Roman" w:ascii="Times New Roman" w:hAnsi="Times New Roman"/>
        </w:rPr>
        <w:t>. Balanço 2016/perspectivas 2017. Disponível em: &lt;</w:t>
      </w:r>
      <w:r>
        <w:rPr>
          <w:rFonts w:cs="Liberation Serif" w:ascii="Liberation Serif" w:hAnsi="Liberation Serif"/>
        </w:rPr>
        <w:t xml:space="preserve"> </w:t>
      </w:r>
    </w:p>
    <w:p>
      <w:pPr>
        <w:pStyle w:val="Normal"/>
        <w:spacing w:lineRule="auto" w:line="240" w:before="0" w:after="0"/>
        <w:rPr/>
      </w:pPr>
      <w:hyperlink r:id="rId9">
        <w:r>
          <w:rPr>
            <w:rStyle w:val="LinkdaInternet"/>
            <w:rFonts w:cs="Times New Roman" w:ascii="Times New Roman" w:hAnsi="Times New Roman"/>
          </w:rPr>
          <w:t>http://www.cnabrasil.org.br/sites/default/files/sites/default/files/uploads/11_hortalicas.pdf</w:t>
        </w:r>
      </w:hyperlink>
      <w:r>
        <w:rPr>
          <w:rFonts w:cs="Times New Roman" w:ascii="Times New Roman" w:hAnsi="Times New Roman"/>
        </w:rPr>
        <w:t xml:space="preserve">&gt; acesso em 17 de agosto de 2017. </w:t>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rFonts w:ascii="Times New Roman" w:hAnsi="Times New Roman" w:cs="Times New Roman"/>
        </w:rPr>
      </w:pPr>
      <w:r>
        <w:rPr>
          <w:rFonts w:cs="Times New Roman" w:ascii="Times New Roman" w:hAnsi="Times New Roman"/>
        </w:rPr>
        <w:t xml:space="preserve">DELEITO C.S.R. </w:t>
      </w:r>
      <w:r>
        <w:rPr>
          <w:rFonts w:cs="Times New Roman" w:ascii="Times New Roman" w:hAnsi="Times New Roman"/>
          <w:b/>
        </w:rPr>
        <w:t>O biofertilizante Agrobio: composição microbiana e efeito sobre a mancha bacteriana do pimentão</w:t>
      </w:r>
      <w:r>
        <w:rPr>
          <w:rFonts w:cs="Times New Roman" w:ascii="Times New Roman" w:hAnsi="Times New Roman"/>
        </w:rPr>
        <w:t>. 2002. 95 f. (Tese mestrado) - UFRRJ, Seropédica.</w:t>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t>DELEITO, C.S.R.; CARMO, M.G.F.; FERNANDES, M.C.A.; ABBOUD, A.C.S</w:t>
      </w:r>
      <w:r>
        <w:rPr>
          <w:rFonts w:cs="Times New Roman" w:ascii="Times New Roman" w:hAnsi="Times New Roman"/>
          <w:b/>
        </w:rPr>
        <w:t>. Ação do biofertilizante Agrobio sobre a mancha-bacteriana e desenvolvimento de mudas de pimentão</w:t>
      </w:r>
      <w:r>
        <w:rPr>
          <w:rFonts w:cs="Times New Roman" w:ascii="Times New Roman" w:hAnsi="Times New Roman"/>
        </w:rPr>
        <w:t>. Horticultura Brasileira, Brasília, v.23, n.1, p.117-122, jan.-mar. 2005.</w:t>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t xml:space="preserve">FILGUEIRA, F. A. R. </w:t>
      </w:r>
      <w:r>
        <w:rPr>
          <w:rFonts w:cs="Times New Roman" w:ascii="Times New Roman" w:hAnsi="Times New Roman"/>
          <w:b/>
        </w:rPr>
        <w:t>Manual de olericultura: Agrotecnologia moderna na produção e comercialização de hortaliças.</w:t>
      </w:r>
      <w:r>
        <w:rPr>
          <w:rFonts w:cs="Times New Roman" w:ascii="Times New Roman" w:hAnsi="Times New Roman"/>
        </w:rPr>
        <w:t xml:space="preserve"> Viçosa, 2000, 402p.</w:t>
      </w:r>
    </w:p>
    <w:p>
      <w:pPr>
        <w:pStyle w:val="Normal"/>
        <w:spacing w:lineRule="auto" w:line="240" w:before="0" w:after="0"/>
        <w:rPr>
          <w:rFonts w:ascii="Calibri" w:hAnsi="Calibri" w:cs="Calibri"/>
        </w:rPr>
      </w:pPr>
      <w:r>
        <w:rPr>
          <w:rFonts w:cs="Calibri"/>
        </w:rPr>
      </w:r>
    </w:p>
    <w:p>
      <w:pPr>
        <w:pStyle w:val="Normal"/>
        <w:spacing w:lineRule="auto" w:line="240" w:before="0" w:after="0"/>
        <w:rPr>
          <w:rFonts w:ascii="Times New Roman" w:hAnsi="Times New Roman" w:cs="Times New Roman"/>
        </w:rPr>
      </w:pPr>
      <w:r>
        <w:rPr>
          <w:rFonts w:cs="Times New Roman" w:ascii="Times New Roman" w:hAnsi="Times New Roman"/>
        </w:rPr>
        <w:t>GALBIATTI, J.C; CAVALCANTE, I.H.L; RIBEIRO.A.G; BECKMAN, C.N.Z.Fertilização</w:t>
      </w:r>
      <w:r>
        <w:rPr>
          <w:rFonts w:cs="Times New Roman" w:ascii="Times New Roman" w:hAnsi="Times New Roman"/>
          <w:b/>
          <w:bCs/>
        </w:rPr>
        <w:t xml:space="preserve"> e qualidade da água de irrigação no crescimento e desenvolvimento da alface. </w:t>
      </w:r>
      <w:r>
        <w:rPr>
          <w:rFonts w:cs="Times New Roman" w:ascii="Times New Roman" w:hAnsi="Times New Roman"/>
        </w:rPr>
        <w:t>Revista Scientia Agrária, Curitiba, v.8, n.2, p.185-192,2007.</w:t>
      </w:r>
    </w:p>
    <w:p>
      <w:pPr>
        <w:pStyle w:val="Normal"/>
        <w:spacing w:lineRule="auto" w:line="240" w:before="0" w:after="0"/>
        <w:rPr>
          <w:rFonts w:ascii="Calibri" w:hAnsi="Calibri" w:cs="Calibri"/>
        </w:rPr>
      </w:pPr>
      <w:r>
        <w:rPr>
          <w:rFonts w:cs="Calibri"/>
        </w:rPr>
      </w:r>
    </w:p>
    <w:p>
      <w:pPr>
        <w:pStyle w:val="Normal"/>
        <w:spacing w:lineRule="auto" w:line="240" w:before="0" w:after="0"/>
        <w:rPr>
          <w:rFonts w:ascii="Times New Roman" w:hAnsi="Times New Roman" w:cs="Times New Roman"/>
        </w:rPr>
      </w:pPr>
      <w:r>
        <w:rPr>
          <w:rFonts w:cs="Times New Roman" w:ascii="Times New Roman" w:hAnsi="Times New Roman"/>
        </w:rPr>
        <w:t xml:space="preserve">MARTINS, J.D.L; MOURA, M.F; OLIVEIRA, J.P.F; OLIVEIRA, M; GALINDO, C.A. </w:t>
      </w:r>
      <w:r>
        <w:rPr>
          <w:rFonts w:cs="Times New Roman" w:ascii="Times New Roman" w:hAnsi="Times New Roman"/>
          <w:b/>
          <w:bCs/>
        </w:rPr>
        <w:t>Esterco bovino, biofertilizante, inoculante e combinações no desempenho produtivo do feijão comum</w:t>
      </w:r>
      <w:r>
        <w:rPr>
          <w:rFonts w:cs="Times New Roman" w:ascii="Times New Roman" w:hAnsi="Times New Roman"/>
        </w:rPr>
        <w:t>. Revista Agroambiente, v.9, n.4, p.369-376, Boa Vista, 2015.</w:t>
      </w:r>
    </w:p>
    <w:p>
      <w:pPr>
        <w:pStyle w:val="Normal"/>
        <w:spacing w:lineRule="auto" w:line="240" w:before="0" w:after="0"/>
        <w:jc w:val="both"/>
        <w:rPr>
          <w:rFonts w:ascii="Calibri" w:hAnsi="Calibri" w:cs="Calibri"/>
        </w:rPr>
      </w:pPr>
      <w:r>
        <w:rPr>
          <w:rFonts w:cs="Calibri"/>
        </w:rPr>
      </w:r>
    </w:p>
    <w:p>
      <w:pPr>
        <w:pStyle w:val="Normal"/>
        <w:spacing w:lineRule="auto" w:line="240" w:before="0" w:after="0"/>
        <w:jc w:val="both"/>
        <w:rPr>
          <w:rFonts w:ascii="Times New Roman" w:hAnsi="Times New Roman" w:cs="Times New Roman"/>
          <w:color w:val="231F20"/>
          <w:sz w:val="24"/>
          <w:szCs w:val="24"/>
        </w:rPr>
      </w:pPr>
      <w:r>
        <w:rPr>
          <w:rFonts w:cs="Times New Roman" w:ascii="Times New Roman" w:hAnsi="Times New Roman"/>
          <w:color w:val="231F20"/>
          <w:sz w:val="24"/>
          <w:szCs w:val="24"/>
        </w:rPr>
        <w:t xml:space="preserve">MEDEIROS, M. B.; LOPES, J. S. </w:t>
      </w:r>
      <w:r>
        <w:rPr>
          <w:rFonts w:cs="Times New Roman" w:ascii="Times New Roman" w:hAnsi="Times New Roman"/>
          <w:b/>
          <w:bCs/>
          <w:color w:val="231F20"/>
          <w:sz w:val="24"/>
          <w:szCs w:val="24"/>
        </w:rPr>
        <w:t>Biofertilizantes líquidos e sustentabilidade agrícola</w:t>
      </w:r>
      <w:r>
        <w:rPr>
          <w:rFonts w:cs="Times New Roman" w:ascii="Times New Roman" w:hAnsi="Times New Roman"/>
          <w:color w:val="231F20"/>
          <w:sz w:val="24"/>
          <w:szCs w:val="24"/>
        </w:rPr>
        <w:t>. Revista Bahia Agrícola. v.7, n.3, nov. 2006.</w:t>
      </w:r>
    </w:p>
    <w:p>
      <w:pPr>
        <w:pStyle w:val="Normal"/>
        <w:spacing w:lineRule="auto" w:line="240" w:before="0" w:after="0"/>
        <w:jc w:val="both"/>
        <w:rPr>
          <w:rFonts w:ascii="Calibri" w:hAnsi="Calibri" w:cs="Calibri"/>
        </w:rPr>
      </w:pPr>
      <w:r>
        <w:rPr>
          <w:rFonts w:cs="Calibri"/>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NETO, A. J. et al. </w:t>
      </w:r>
      <w:r>
        <w:rPr>
          <w:rFonts w:cs="Times New Roman" w:ascii="Times New Roman" w:hAnsi="Times New Roman"/>
          <w:b/>
          <w:bCs/>
          <w:sz w:val="24"/>
          <w:szCs w:val="24"/>
        </w:rPr>
        <w:t>Biofertilizante bovino, cobertura morta e revestimento lateral dos sulcos na produção de pimentão</w:t>
      </w:r>
      <w:r>
        <w:rPr>
          <w:rFonts w:cs="Times New Roman" w:ascii="Times New Roman" w:hAnsi="Times New Roman"/>
          <w:sz w:val="24"/>
          <w:szCs w:val="24"/>
        </w:rPr>
        <w:t xml:space="preserve">. Revista Caatinga, v. 26, n. 3, p. 1 – 8, 2013.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rPr>
        <w:t xml:space="preserve">NUNES, M.U.C.; LEAL, M.L.S. </w:t>
      </w:r>
      <w:r>
        <w:rPr>
          <w:rFonts w:cs="Times New Roman" w:ascii="Times New Roman" w:hAnsi="Times New Roman"/>
          <w:b/>
        </w:rPr>
        <w:t>Efeitos de aplicação de biofertilizante e outros produtos químicos e biológicos no controle da broca pequena do fruto e na produção do tomateiro tutorado em duas épocas de cultivo e dois sistemas de irrigação</w:t>
      </w:r>
      <w:r>
        <w:rPr>
          <w:rFonts w:cs="Times New Roman" w:ascii="Times New Roman" w:hAnsi="Times New Roman"/>
        </w:rPr>
        <w:t>. Horticultura Barsileira, Brasília, v.19, n,1, p.53- 59, 2001.</w:t>
      </w:r>
    </w:p>
    <w:p>
      <w:pPr>
        <w:pStyle w:val="Normal"/>
        <w:spacing w:lineRule="auto" w:line="240" w:before="0" w:after="0"/>
        <w:rPr>
          <w:rFonts w:ascii="Calibri" w:hAnsi="Calibri" w:cs="Calibri"/>
        </w:rPr>
      </w:pPr>
      <w:r>
        <w:rPr>
          <w:rFonts w:cs="Calibri"/>
        </w:rPr>
      </w:r>
    </w:p>
    <w:p>
      <w:pPr>
        <w:pStyle w:val="Normal"/>
        <w:spacing w:lineRule="auto" w:line="240" w:before="0" w:after="0"/>
        <w:rPr>
          <w:rFonts w:ascii="Times New Roman" w:hAnsi="Times New Roman" w:cs="Times New Roman"/>
        </w:rPr>
      </w:pPr>
      <w:r>
        <w:rPr>
          <w:rFonts w:cs="Times New Roman" w:ascii="Times New Roman" w:hAnsi="Times New Roman"/>
        </w:rPr>
        <w:t xml:space="preserve">OLIVEIRA, A.P.D; ALVES, E.U; BRUNO, R. D. L.A; BRUNO, G.B. </w:t>
      </w:r>
      <w:r>
        <w:rPr>
          <w:rFonts w:cs="Times New Roman" w:ascii="Times New Roman" w:hAnsi="Times New Roman"/>
          <w:b/>
          <w:bCs/>
        </w:rPr>
        <w:t>Produção e qualidade de sementes de feijão caupi, cultivado com esterco bovino e adubo mineral</w:t>
      </w:r>
      <w:r>
        <w:rPr>
          <w:rFonts w:cs="Times New Roman" w:ascii="Times New Roman" w:hAnsi="Times New Roman"/>
        </w:rPr>
        <w:t>. Revista Brasileira de Sementes, v.22, n.2, p.411-420,2011.</w:t>
      </w:r>
    </w:p>
    <w:p>
      <w:pPr>
        <w:pStyle w:val="Normal"/>
        <w:spacing w:lineRule="auto" w:line="240" w:before="0" w:after="0"/>
        <w:rPr>
          <w:rFonts w:ascii="Calibri" w:hAnsi="Calibri" w:cs="Calibri"/>
        </w:rPr>
      </w:pPr>
      <w:r>
        <w:rPr>
          <w:rFonts w:cs="Calibri"/>
        </w:rPr>
      </w:r>
    </w:p>
    <w:p>
      <w:pPr>
        <w:pStyle w:val="Normal"/>
        <w:spacing w:lineRule="auto" w:line="240" w:before="0" w:after="0"/>
        <w:rPr>
          <w:rFonts w:ascii="Times New Roman" w:hAnsi="Times New Roman" w:cs="Times New Roman"/>
        </w:rPr>
      </w:pPr>
      <w:r>
        <w:rPr>
          <w:rFonts w:cs="Times New Roman" w:ascii="Times New Roman" w:hAnsi="Times New Roman"/>
        </w:rPr>
        <w:t xml:space="preserve">PENTEADO, S.R. </w:t>
      </w:r>
      <w:r>
        <w:rPr>
          <w:rFonts w:cs="Times New Roman" w:ascii="Times New Roman" w:hAnsi="Times New Roman"/>
          <w:b/>
          <w:bCs/>
        </w:rPr>
        <w:t>Adubação orgânica: compostos orgânicos e biofertilizantes.</w:t>
      </w:r>
      <w:r>
        <w:rPr>
          <w:rFonts w:cs="Times New Roman" w:ascii="Times New Roman" w:hAnsi="Times New Roman"/>
        </w:rPr>
        <w:t>2 ed. Campinas: Edição do autor, 2007. 162.</w:t>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rFonts w:ascii="Times New Roman" w:hAnsi="Times New Roman" w:cs="Times New Roman"/>
        </w:rPr>
      </w:pPr>
      <w:r>
        <w:rPr>
          <w:rFonts w:cs="Times New Roman" w:ascii="Times New Roman" w:hAnsi="Times New Roman"/>
        </w:rPr>
        <w:t xml:space="preserve">SANTOS, A. C. V. </w:t>
      </w:r>
      <w:r>
        <w:rPr>
          <w:rFonts w:cs="Times New Roman" w:ascii="Times New Roman" w:hAnsi="Times New Roman"/>
          <w:b/>
        </w:rPr>
        <w:t>Biofertilizante líquido, o defensivo da natureza</w:t>
      </w:r>
      <w:r>
        <w:rPr>
          <w:rFonts w:cs="Times New Roman" w:ascii="Times New Roman" w:hAnsi="Times New Roman"/>
        </w:rPr>
        <w:t>. Niterói: EMATER, 1992. 16p. Agropecuária Fluminense, 8</w:t>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rFonts w:ascii="Times New Roman" w:hAnsi="Times New Roman" w:cs="Times New Roman"/>
        </w:rPr>
      </w:pPr>
      <w:r>
        <w:rPr>
          <w:rFonts w:cs="Times New Roman" w:ascii="Times New Roman" w:hAnsi="Times New Roman"/>
        </w:rPr>
        <w:t>SILVA, R.G; GALVÃO, J.C.C; MIRANDA, G.V; SILVA, D.G; ARNHOLD, E.</w:t>
      </w:r>
      <w:r>
        <w:rPr>
          <w:rFonts w:cs="Times New Roman" w:ascii="Times New Roman" w:hAnsi="Times New Roman"/>
          <w:b/>
          <w:bCs/>
        </w:rPr>
        <w:t xml:space="preserve"> Produtividades de variedades de milho nos sistemas de cultivo orgânico e convencional</w:t>
      </w:r>
      <w:r>
        <w:rPr>
          <w:rFonts w:cs="Times New Roman" w:ascii="Times New Roman" w:hAnsi="Times New Roman"/>
        </w:rPr>
        <w:t>. Revista Caatinga, v.21, n.3, p.78-85,2008.</w:t>
      </w:r>
    </w:p>
    <w:p>
      <w:pPr>
        <w:pStyle w:val="Normal"/>
        <w:spacing w:lineRule="auto" w:line="240" w:before="0" w:after="0"/>
        <w:rPr>
          <w:rFonts w:ascii="Calibri" w:hAnsi="Calibri" w:cs="Calibri"/>
        </w:rPr>
      </w:pPr>
      <w:r>
        <w:rPr>
          <w:rFonts w:cs="Calibri"/>
        </w:rPr>
      </w:r>
    </w:p>
    <w:p>
      <w:pPr>
        <w:pStyle w:val="Normal"/>
        <w:spacing w:lineRule="auto" w:line="240" w:before="119" w:after="119"/>
        <w:jc w:val="both"/>
        <w:rPr/>
      </w:pPr>
      <w:r>
        <w:rPr/>
      </w:r>
    </w:p>
    <w:sectPr>
      <w:headerReference w:type="default" r:id="rId10"/>
      <w:type w:val="nextPage"/>
      <w:pgSz w:w="12240" w:h="15840"/>
      <w:pgMar w:left="1701" w:right="1701" w:header="720" w:top="1417" w:footer="0" w:bottom="1417" w:gutter="0"/>
      <w:pgNumType w:fmt="decimal"/>
      <w:formProt w:val="false"/>
      <w:textDirection w:val="lrTb"/>
      <w:docGrid w:type="default" w:linePitch="24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Times-Roman">
    <w:altName w:val="Times New Roman"/>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rPr/>
    </w:pPr>
    <w:r>
      <w:rPr/>
      <w:drawing>
        <wp:inline distT="0" distB="1270" distL="0" distR="3810">
          <wp:extent cx="2910840" cy="1332230"/>
          <wp:effectExtent l="0" t="0" r="0" b="0"/>
          <wp:docPr id="4"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2" descr=""/>
                  <pic:cNvPicPr>
                    <a:picLocks noChangeAspect="1" noChangeArrowheads="1"/>
                  </pic:cNvPicPr>
                </pic:nvPicPr>
                <pic:blipFill>
                  <a:blip r:embed="rId1"/>
                  <a:srcRect l="-23" t="-47" r="-23" b="-47"/>
                  <a:stretch>
                    <a:fillRect/>
                  </a:stretch>
                </pic:blipFill>
                <pic:spPr bwMode="auto">
                  <a:xfrm>
                    <a:off x="0" y="0"/>
                    <a:ext cx="2910840" cy="1332230"/>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f43ea"/>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pt-BR" w:eastAsia="en-US" w:bidi="ar-SA"/>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Textodebalo"/>
    <w:uiPriority w:val="99"/>
    <w:semiHidden/>
    <w:qFormat/>
    <w:rsid w:val="006f43ea"/>
    <w:rPr>
      <w:rFonts w:ascii="Tahoma" w:hAnsi="Tahoma" w:cs="Tahoma"/>
      <w:sz w:val="16"/>
      <w:szCs w:val="16"/>
    </w:rPr>
  </w:style>
  <w:style w:type="character" w:styleId="Annotationreference">
    <w:name w:val="annotation reference"/>
    <w:basedOn w:val="DefaultParagraphFont"/>
    <w:uiPriority w:val="99"/>
    <w:semiHidden/>
    <w:unhideWhenUsed/>
    <w:qFormat/>
    <w:rsid w:val="006f43ea"/>
    <w:rPr>
      <w:sz w:val="16"/>
      <w:szCs w:val="16"/>
    </w:rPr>
  </w:style>
  <w:style w:type="character" w:styleId="TextodecomentrioChar" w:customStyle="1">
    <w:name w:val="Texto de comentário Char"/>
    <w:basedOn w:val="DefaultParagraphFont"/>
    <w:link w:val="Textodecomentrio"/>
    <w:uiPriority w:val="99"/>
    <w:semiHidden/>
    <w:qFormat/>
    <w:rsid w:val="006f43ea"/>
    <w:rPr>
      <w:sz w:val="20"/>
      <w:szCs w:val="20"/>
    </w:rPr>
  </w:style>
  <w:style w:type="character" w:styleId="AssuntodocomentrioChar" w:customStyle="1">
    <w:name w:val="Assunto do comentário Char"/>
    <w:basedOn w:val="TextodecomentrioChar"/>
    <w:link w:val="Assuntodocomentrio"/>
    <w:uiPriority w:val="99"/>
    <w:semiHidden/>
    <w:qFormat/>
    <w:rsid w:val="006f43ea"/>
    <w:rPr>
      <w:b/>
      <w:bCs/>
      <w:sz w:val="20"/>
      <w:szCs w:val="20"/>
    </w:rPr>
  </w:style>
  <w:style w:type="character" w:styleId="LinkdaInternet">
    <w:name w:val="Link da Internet"/>
    <w:basedOn w:val="DefaultParagraphFont"/>
    <w:uiPriority w:val="99"/>
    <w:unhideWhenUsed/>
    <w:rsid w:val="001d574b"/>
    <w:rPr>
      <w:color w:val="0000FF" w:themeColor="hyperlink"/>
      <w:u w:val="single"/>
    </w:rPr>
  </w:style>
  <w:style w:type="character" w:styleId="CabealhoChar" w:customStyle="1">
    <w:name w:val="Cabeçalho Char"/>
    <w:basedOn w:val="DefaultParagraphFont"/>
    <w:link w:val="Cabealho"/>
    <w:uiPriority w:val="99"/>
    <w:qFormat/>
    <w:rsid w:val="009f353f"/>
    <w:rPr/>
  </w:style>
  <w:style w:type="character" w:styleId="RodapChar" w:customStyle="1">
    <w:name w:val="Rodapé Char"/>
    <w:basedOn w:val="DefaultParagraphFont"/>
    <w:link w:val="Rodap"/>
    <w:uiPriority w:val="99"/>
    <w:qFormat/>
    <w:rsid w:val="009f353f"/>
    <w:rPr/>
  </w:style>
  <w:style w:type="paragraph" w:styleId="Ttulo">
    <w:name w:val="Título"/>
    <w:basedOn w:val="Normal"/>
    <w:next w:val="Corpodetexto"/>
    <w:qFormat/>
    <w:pPr>
      <w:keepNext/>
      <w:spacing w:before="240" w:after="120"/>
    </w:pPr>
    <w:rPr>
      <w:rFonts w:ascii="Liberation Sans" w:hAnsi="Liberation Sans" w:eastAsia="Microsoft YaHei" w:cs="Mangal"/>
      <w:sz w:val="28"/>
      <w:szCs w:val="28"/>
    </w:rPr>
  </w:style>
  <w:style w:type="paragraph" w:styleId="Corpodetexto">
    <w:name w:val="Body Text"/>
    <w:basedOn w:val="Normal"/>
    <w:pPr>
      <w:spacing w:lineRule="auto" w:line="288" w:before="0" w:after="140"/>
    </w:pPr>
    <w:rPr/>
  </w:style>
  <w:style w:type="paragraph" w:styleId="Lista">
    <w:name w:val="List"/>
    <w:basedOn w:val="Corpode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BalloonText">
    <w:name w:val="Balloon Text"/>
    <w:basedOn w:val="Normal"/>
    <w:link w:val="TextodebaloChar"/>
    <w:uiPriority w:val="99"/>
    <w:semiHidden/>
    <w:unhideWhenUsed/>
    <w:qFormat/>
    <w:rsid w:val="006f43ea"/>
    <w:pPr>
      <w:spacing w:lineRule="auto" w:line="240" w:before="0" w:after="0"/>
    </w:pPr>
    <w:rPr>
      <w:rFonts w:ascii="Tahoma" w:hAnsi="Tahoma" w:cs="Tahoma"/>
      <w:sz w:val="16"/>
      <w:szCs w:val="16"/>
    </w:rPr>
  </w:style>
  <w:style w:type="paragraph" w:styleId="Annotationtext">
    <w:name w:val="annotation text"/>
    <w:basedOn w:val="Normal"/>
    <w:link w:val="TextodecomentrioChar"/>
    <w:uiPriority w:val="99"/>
    <w:semiHidden/>
    <w:unhideWhenUsed/>
    <w:qFormat/>
    <w:rsid w:val="006f43ea"/>
    <w:pPr>
      <w:spacing w:lineRule="auto" w:line="240"/>
    </w:pPr>
    <w:rPr>
      <w:sz w:val="20"/>
      <w:szCs w:val="20"/>
    </w:rPr>
  </w:style>
  <w:style w:type="paragraph" w:styleId="Annotationsubject">
    <w:name w:val="annotation subject"/>
    <w:basedOn w:val="Annotationtext"/>
    <w:link w:val="AssuntodocomentrioChar"/>
    <w:uiPriority w:val="99"/>
    <w:semiHidden/>
    <w:unhideWhenUsed/>
    <w:qFormat/>
    <w:rsid w:val="006f43ea"/>
    <w:pPr/>
    <w:rPr>
      <w:b/>
      <w:bCs/>
    </w:rPr>
  </w:style>
  <w:style w:type="paragraph" w:styleId="Cabealho">
    <w:name w:val="Header"/>
    <w:basedOn w:val="Normal"/>
    <w:link w:val="CabealhoChar"/>
    <w:uiPriority w:val="99"/>
    <w:unhideWhenUsed/>
    <w:rsid w:val="009f353f"/>
    <w:pPr>
      <w:tabs>
        <w:tab w:val="center" w:pos="4252" w:leader="none"/>
        <w:tab w:val="right" w:pos="8504" w:leader="none"/>
      </w:tabs>
      <w:spacing w:lineRule="auto" w:line="240" w:before="0" w:after="0"/>
    </w:pPr>
    <w:rPr/>
  </w:style>
  <w:style w:type="paragraph" w:styleId="Rodap">
    <w:name w:val="Footer"/>
    <w:basedOn w:val="Normal"/>
    <w:link w:val="RodapChar"/>
    <w:uiPriority w:val="99"/>
    <w:unhideWhenUsed/>
    <w:rsid w:val="009f353f"/>
    <w:pPr>
      <w:tabs>
        <w:tab w:val="center" w:pos="4252" w:leader="none"/>
        <w:tab w:val="right" w:pos="8504" w:leader="none"/>
      </w:tabs>
      <w:spacing w:lineRule="auto" w:line="240" w:before="0" w:after="0"/>
    </w:pPr>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thalitasilvatrp93@hotmail.com" TargetMode="External"/><Relationship Id="rId3" Type="http://schemas.openxmlformats.org/officeDocument/2006/relationships/hyperlink" Target="mailto:vianathayny@gmail.com" TargetMode="External"/><Relationship Id="rId4" Type="http://schemas.openxmlformats.org/officeDocument/2006/relationships/hyperlink" Target="mailto:ericachaves2@gmail.com" TargetMode="External"/><Relationship Id="rId5" Type="http://schemas.openxmlformats.org/officeDocument/2006/relationships/hyperlink" Target="mailto:mrpleite@hotmail.com " TargetMode="Externa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hyperlink" Target="http://www.cnabrasil.org.br/sites/default/files/sites/default/files/uploads/11_hortalicas.pdf" TargetMode="External"/><Relationship Id="rId10" Type="http://schemas.openxmlformats.org/officeDocument/2006/relationships/header" Target="head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LibreOffice/5.3.3.2$Windows_X86_64 LibreOffice_project/3d9a8b4b4e538a85e0782bd6c2d430bafe583448</Application>
  <Pages>6</Pages>
  <Words>1800</Words>
  <Characters>10778</Characters>
  <CharactersWithSpaces>12576</CharactersWithSpaces>
  <Paragraphs>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2017-08-21T14:23:00Z</dcterms:created>
  <dc:creator>MARCIO</dc:creator>
  <dc:description/>
  <dc:language>pt-BR</dc:language>
  <cp:lastModifiedBy/>
  <dcterms:modified xsi:type="dcterms:W3CDTF">2017-08-21T16:11:56Z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